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p w:rsidR="009D5BE1" w:rsidRPr="009D5BE1" w:rsidRDefault="009D5BE1" w:rsidP="009D5BE1">
      <w:pPr>
        <w:pStyle w:val="Heading1"/>
        <w:keepNext w:val="0"/>
        <w:spacing w:before="0" w:after="0"/>
        <w:jc w:val="both"/>
        <w:rPr>
          <w:rFonts w:ascii="Helvetica" w:eastAsia="Helvetica" w:hAnsi="Helvetica" w:cs="Helvetica"/>
          <w:color w:val="FF0000"/>
          <w:sz w:val="24"/>
          <w:szCs w:val="24"/>
        </w:rPr>
      </w:pPr>
    </w:p>
    <w:p w:rsidR="003B7367" w:rsidRDefault="002C3C76" w:rsidP="009D5BE1">
      <w:pPr>
        <w:pStyle w:val="Heading1"/>
        <w:keepNext w:val="0"/>
        <w:spacing w:before="0" w:after="0"/>
        <w:jc w:val="center"/>
        <w:rPr>
          <w:sz w:val="36"/>
          <w:szCs w:val="36"/>
        </w:rPr>
      </w:pPr>
      <w:r>
        <w:rPr>
          <w:rFonts w:ascii="Helvetica" w:eastAsia="Helvetica" w:hAnsi="Helvetica" w:cs="Helvetica"/>
          <w:color w:val="833177"/>
          <w:sz w:val="36"/>
          <w:szCs w:val="36"/>
        </w:rPr>
        <w:t>HR DIRECTORS BOARDROOM</w:t>
      </w:r>
    </w:p>
    <w:p w:rsidR="003B7367" w:rsidRDefault="00D97265" w:rsidP="009D5BE1">
      <w:pPr>
        <w:pStyle w:val="Heading1"/>
        <w:keepNext w:val="0"/>
        <w:spacing w:before="0" w:after="0"/>
        <w:jc w:val="center"/>
        <w:rPr>
          <w:rFonts w:ascii="Helvetica" w:eastAsia="Helvetica" w:hAnsi="Helvetica" w:cs="Helvetica"/>
          <w:color w:val="833177"/>
          <w:sz w:val="36"/>
          <w:szCs w:val="36"/>
        </w:rPr>
      </w:pPr>
      <w:r>
        <w:rPr>
          <w:rFonts w:ascii="Helvetica" w:eastAsia="Helvetica" w:hAnsi="Helvetica" w:cs="Helvetica"/>
          <w:color w:val="833177"/>
          <w:sz w:val="36"/>
          <w:szCs w:val="36"/>
        </w:rPr>
        <w:t>Leeds 2019</w:t>
      </w:r>
    </w:p>
    <w:p w:rsidR="00EE4B0F" w:rsidRDefault="00EE4B0F" w:rsidP="005B4194">
      <w:pPr>
        <w:jc w:val="center"/>
        <w:rPr>
          <w:rFonts w:asciiTheme="minorHAnsi" w:hAnsiTheme="minorHAnsi"/>
          <w:sz w:val="22"/>
          <w:szCs w:val="22"/>
        </w:rPr>
      </w:pPr>
    </w:p>
    <w:p w:rsidR="00F303D6" w:rsidRPr="00F303D6" w:rsidRDefault="00F303D6" w:rsidP="005B4194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Building High Performance </w:t>
      </w:r>
      <w:proofErr w:type="gramStart"/>
      <w:r>
        <w:rPr>
          <w:rFonts w:asciiTheme="minorHAnsi" w:hAnsiTheme="minorHAnsi"/>
          <w:sz w:val="22"/>
          <w:szCs w:val="22"/>
        </w:rPr>
        <w:t>During</w:t>
      </w:r>
      <w:proofErr w:type="gramEnd"/>
      <w:r>
        <w:rPr>
          <w:rFonts w:asciiTheme="minorHAnsi" w:hAnsiTheme="minorHAnsi"/>
          <w:sz w:val="22"/>
          <w:szCs w:val="22"/>
        </w:rPr>
        <w:t xml:space="preserve"> Uncertainty and Ambiguity</w:t>
      </w:r>
    </w:p>
    <w:p w:rsidR="00F303D6" w:rsidRPr="00F303D6" w:rsidRDefault="00F303D6" w:rsidP="00F303D6"/>
    <w:p w:rsidR="003B7367" w:rsidRDefault="005B4194" w:rsidP="005B4194">
      <w:p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3409950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nt coll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65" w:rsidRDefault="00D97265" w:rsidP="00D2108E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lk497638885"/>
    </w:p>
    <w:p w:rsidR="003B7367" w:rsidRPr="00762A40" w:rsidRDefault="00D2108E" w:rsidP="00D2108E">
      <w:pPr>
        <w:jc w:val="both"/>
        <w:rPr>
          <w:color w:val="FF0000"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9550" cy="276225"/>
            <wp:effectExtent l="0" t="0" r="0" b="9525"/>
            <wp:wrapSquare wrapText="bothSides"/>
            <wp:docPr id="100005" name="Picture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4290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2C3C76">
        <w:rPr>
          <w:rFonts w:ascii="Calibri" w:eastAsia="Calibri" w:hAnsi="Calibri" w:cs="Calibri"/>
          <w:sz w:val="22"/>
          <w:szCs w:val="22"/>
        </w:rPr>
        <w:t>elegates</w:t>
      </w:r>
      <w:proofErr w:type="spellEnd"/>
      <w:proofErr w:type="gramEnd"/>
      <w:r w:rsidR="009F75D2">
        <w:rPr>
          <w:rFonts w:ascii="Calibri" w:eastAsia="Calibri" w:hAnsi="Calibri" w:cs="Calibri"/>
          <w:sz w:val="22"/>
          <w:szCs w:val="22"/>
        </w:rPr>
        <w:t xml:space="preserve"> gathered at</w:t>
      </w:r>
      <w:r w:rsidR="002C3C76">
        <w:rPr>
          <w:rFonts w:ascii="Calibri" w:eastAsia="Calibri" w:hAnsi="Calibri" w:cs="Calibri"/>
          <w:sz w:val="22"/>
          <w:szCs w:val="22"/>
        </w:rPr>
        <w:t xml:space="preserve"> Eversheds Sutherlands (International) LLP and participated in this thought provoking and informative boardroom event. Introduced by </w:t>
      </w:r>
      <w:hyperlink r:id="rId9" w:history="1">
        <w:r w:rsidR="002C3C76" w:rsidRPr="006A4FBF">
          <w:rPr>
            <w:rStyle w:val="Hyperlink"/>
            <w:rFonts w:ascii="Calibri" w:eastAsia="Calibri" w:hAnsi="Calibri" w:cs="Calibri"/>
            <w:b/>
            <w:bCs/>
            <w:color w:val="auto"/>
            <w:sz w:val="22"/>
            <w:szCs w:val="22"/>
            <w:u w:color="000000" w:themeColor="text1"/>
          </w:rPr>
          <w:t>Karen</w:t>
        </w:r>
        <w:r w:rsidR="006A4FBF" w:rsidRPr="006A4FBF">
          <w:rPr>
            <w:rStyle w:val="Hyperlink"/>
            <w:rFonts w:ascii="Calibri" w:eastAsia="Calibri" w:hAnsi="Calibri" w:cs="Calibri"/>
            <w:b/>
            <w:bCs/>
            <w:color w:val="auto"/>
            <w:sz w:val="22"/>
            <w:szCs w:val="22"/>
            <w:u w:color="000000" w:themeColor="text1"/>
          </w:rPr>
          <w:t xml:space="preserve"> Brown – Senior Business Manager</w:t>
        </w:r>
      </w:hyperlink>
      <w:r w:rsidR="002C3C76" w:rsidRPr="006A4FBF">
        <w:rPr>
          <w:rFonts w:ascii="Calibri" w:eastAsia="Calibri" w:hAnsi="Calibri" w:cs="Calibri"/>
          <w:sz w:val="22"/>
          <w:szCs w:val="22"/>
        </w:rPr>
        <w:t xml:space="preserve"> </w:t>
      </w:r>
      <w:r w:rsidR="00F303D6">
        <w:rPr>
          <w:rFonts w:ascii="Calibri" w:eastAsia="Calibri" w:hAnsi="Calibri" w:cs="Calibri"/>
          <w:sz w:val="22"/>
          <w:szCs w:val="22"/>
        </w:rPr>
        <w:t xml:space="preserve">and </w:t>
      </w:r>
      <w:hyperlink r:id="rId10" w:history="1">
        <w:r w:rsidR="00F303D6" w:rsidRPr="005B4194">
          <w:rPr>
            <w:rStyle w:val="Hyperlink"/>
            <w:rFonts w:ascii="Calibri" w:eastAsia="Calibri" w:hAnsi="Calibri" w:cs="Calibri"/>
            <w:b/>
            <w:color w:val="auto"/>
            <w:sz w:val="22"/>
            <w:szCs w:val="22"/>
          </w:rPr>
          <w:t>Cameron Davie</w:t>
        </w:r>
        <w:r w:rsidR="005B4194" w:rsidRPr="005B4194">
          <w:rPr>
            <w:rStyle w:val="Hyperlink"/>
            <w:rFonts w:ascii="Calibri" w:eastAsia="Calibri" w:hAnsi="Calibri" w:cs="Calibri"/>
            <w:b/>
            <w:color w:val="auto"/>
            <w:sz w:val="22"/>
            <w:szCs w:val="22"/>
          </w:rPr>
          <w:t>s, HR Recruitment Consultant</w:t>
        </w:r>
      </w:hyperlink>
      <w:r w:rsidR="005B4194" w:rsidRPr="005B4194">
        <w:rPr>
          <w:rFonts w:ascii="Calibri" w:eastAsia="Calibri" w:hAnsi="Calibri" w:cs="Calibri"/>
          <w:sz w:val="22"/>
          <w:szCs w:val="22"/>
        </w:rPr>
        <w:t xml:space="preserve"> </w:t>
      </w:r>
      <w:r w:rsidR="002C3C76" w:rsidRPr="006A4FBF">
        <w:rPr>
          <w:rFonts w:ascii="Calibri" w:eastAsia="Calibri" w:hAnsi="Calibri" w:cs="Calibri"/>
          <w:sz w:val="22"/>
          <w:szCs w:val="22"/>
        </w:rPr>
        <w:t>f</w:t>
      </w:r>
      <w:r w:rsidR="0080741A" w:rsidRPr="006A4FBF">
        <w:rPr>
          <w:rFonts w:ascii="Calibri" w:eastAsia="Calibri" w:hAnsi="Calibri" w:cs="Calibri"/>
          <w:sz w:val="22"/>
          <w:szCs w:val="22"/>
        </w:rPr>
        <w:t>or Ashley Kate HR &amp; Finance</w:t>
      </w:r>
      <w:r w:rsidR="002C3C76" w:rsidRPr="006A4FBF">
        <w:rPr>
          <w:rFonts w:ascii="Calibri" w:eastAsia="Calibri" w:hAnsi="Calibri" w:cs="Calibri"/>
          <w:b/>
          <w:bCs/>
          <w:sz w:val="22"/>
          <w:szCs w:val="22"/>
          <w:u w:val="single" w:color="0000FF"/>
        </w:rPr>
        <w:t xml:space="preserve"> </w:t>
      </w:r>
      <w:r w:rsidR="00F303D6">
        <w:rPr>
          <w:rFonts w:ascii="Calibri" w:eastAsia="Calibri" w:hAnsi="Calibri" w:cs="Calibri"/>
          <w:sz w:val="22"/>
          <w:szCs w:val="22"/>
        </w:rPr>
        <w:t xml:space="preserve">and chaired by </w:t>
      </w:r>
      <w:hyperlink r:id="rId11" w:history="1">
        <w:r w:rsidR="00F303D6" w:rsidRPr="005B4194">
          <w:rPr>
            <w:rStyle w:val="Hyperlink"/>
            <w:rFonts w:ascii="Calibri" w:eastAsia="Calibri" w:hAnsi="Calibri" w:cs="Calibri"/>
            <w:b/>
            <w:color w:val="auto"/>
            <w:sz w:val="22"/>
            <w:szCs w:val="22"/>
          </w:rPr>
          <w:t>Helen Rice-Birchall</w:t>
        </w:r>
        <w:r w:rsidR="005B4194" w:rsidRPr="005B4194">
          <w:rPr>
            <w:rStyle w:val="Hyperlink"/>
            <w:rFonts w:ascii="Calibri" w:eastAsia="Calibri" w:hAnsi="Calibri" w:cs="Calibri"/>
            <w:b/>
            <w:color w:val="auto"/>
            <w:sz w:val="22"/>
            <w:szCs w:val="22"/>
          </w:rPr>
          <w:t>, Principal Associate</w:t>
        </w:r>
      </w:hyperlink>
      <w:r w:rsidR="005B4194" w:rsidRPr="005B4194">
        <w:rPr>
          <w:rFonts w:ascii="Calibri" w:eastAsia="Calibri" w:hAnsi="Calibri" w:cs="Calibri"/>
          <w:sz w:val="22"/>
          <w:szCs w:val="22"/>
        </w:rPr>
        <w:t>.</w:t>
      </w:r>
      <w:r w:rsidR="00F303D6" w:rsidRPr="005B4194">
        <w:rPr>
          <w:rFonts w:ascii="Calibri" w:eastAsia="Calibri" w:hAnsi="Calibri" w:cs="Calibri"/>
          <w:sz w:val="22"/>
          <w:szCs w:val="22"/>
        </w:rPr>
        <w:t xml:space="preserve"> </w:t>
      </w:r>
    </w:p>
    <w:p w:rsidR="00F303D6" w:rsidRDefault="00F303D6" w:rsidP="009D5BE1">
      <w:pPr>
        <w:spacing w:after="200" w:line="276" w:lineRule="auto"/>
        <w:jc w:val="both"/>
        <w:rPr>
          <w:rFonts w:asciiTheme="minorHAnsi" w:eastAsia="Calibri" w:hAnsiTheme="minorHAnsi"/>
          <w:b/>
          <w:bCs/>
          <w:color w:val="000000" w:themeColor="text1"/>
          <w:sz w:val="22"/>
          <w:szCs w:val="22"/>
          <w:u w:val="single" w:color="000000" w:themeColor="text1"/>
        </w:rPr>
      </w:pPr>
    </w:p>
    <w:p w:rsidR="00F303D6" w:rsidRDefault="006A62EF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hyperlink r:id="rId12" w:history="1">
        <w:r w:rsidR="00F303D6" w:rsidRPr="005B4194">
          <w:rPr>
            <w:rStyle w:val="Hyperlink"/>
            <w:rFonts w:asciiTheme="minorHAnsi" w:eastAsia="Calibri" w:hAnsiTheme="minorHAnsi"/>
            <w:b/>
            <w:bCs/>
            <w:color w:val="auto"/>
            <w:sz w:val="22"/>
            <w:szCs w:val="22"/>
          </w:rPr>
          <w:t>Tracey Jackson, Head of HR for Legal and General Modular Homes</w:t>
        </w:r>
      </w:hyperlink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</w:t>
      </w:r>
      <w:r w:rsidR="00F303D6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led the morning to give us her insight into this well discussed topic, but with an interesting twist based on Tracey’s wealth of experience. </w:t>
      </w:r>
      <w:r w:rsidR="00B60C2F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Tracey took us on a wh</w:t>
      </w:r>
      <w:r w:rsidR="00A30862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istle stop tour of her career, explaining that</w:t>
      </w:r>
      <w:r w:rsidR="00B60C2F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she has been lucky enough to work for a broad spectrum of businesses. However, she has been delighted to find herself working for a start-up business, which benefits from the backing of a large, successful organisation. Here, change is now a state of life and whilst this produces many </w:t>
      </w:r>
      <w:proofErr w:type="gramStart"/>
      <w:r w:rsidR="00B60C2F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opportunities</w:t>
      </w:r>
      <w:proofErr w:type="gramEnd"/>
      <w:r w:rsidR="00B60C2F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it is not without its challenges.</w:t>
      </w:r>
    </w:p>
    <w:p w:rsidR="00EE4B0F" w:rsidRDefault="00EE4B0F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EE4B0F" w:rsidRDefault="00EE4B0F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EE4B0F" w:rsidRDefault="00EE4B0F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EE4B0F" w:rsidRDefault="00EE4B0F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EE4B0F" w:rsidRDefault="00EE4B0F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F303D6" w:rsidRDefault="00B60C2F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Legal and General Modular Homes will be used as </w:t>
      </w:r>
      <w:r w:rsidR="00D7225E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a case study for the discussion for the morning – but Tracey was keen to share ideas and </w:t>
      </w:r>
      <w:r w:rsidR="0046463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experiences with all delegates.</w:t>
      </w:r>
    </w:p>
    <w:p w:rsidR="00464634" w:rsidRDefault="008D70F8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With any start up there are high and lows, the highs are the freedom, the opportunity and the chance to create something </w:t>
      </w:r>
      <w:r w:rsidR="006B4AF7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new that is </w:t>
      </w: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>really good, the lows are that many people “don’t get it”</w:t>
      </w:r>
      <w:r w:rsidR="006B4AF7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and</w:t>
      </w: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people </w:t>
      </w:r>
      <w:r w:rsidR="00E55ACC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do not feel knitted together. </w:t>
      </w:r>
      <w:proofErr w:type="gramStart"/>
      <w:r w:rsidR="00EB20B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So</w:t>
      </w:r>
      <w:proofErr w:type="gramEnd"/>
      <w:r w:rsidR="00EB20B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it is vital that this is a real focus area for HR – to knit people together in addition to everything else! </w:t>
      </w:r>
    </w:p>
    <w:p w:rsidR="00F303D6" w:rsidRDefault="004F2902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proofErr w:type="gramStart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>So</w:t>
      </w:r>
      <w:proofErr w:type="gramEnd"/>
      <w:r w:rsidR="00B63DD0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,</w:t>
      </w: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the focus on High Performance, this is not new, but in such circumstances a new perspective is required. </w:t>
      </w:r>
      <w:r w:rsidR="00280F28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A key part of Tracey’s focus was </w:t>
      </w:r>
      <w:proofErr w:type="gramStart"/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mind set</w:t>
      </w:r>
      <w:proofErr w:type="gramEnd"/>
      <w:r w:rsidR="006E1F4B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. W</w:t>
      </w:r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e are all creatures of habit, it is human nature and especially in an environment such as </w:t>
      </w:r>
      <w:proofErr w:type="gramStart"/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start-up</w:t>
      </w:r>
      <w:proofErr w:type="gramEnd"/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it is so important to </w:t>
      </w:r>
      <w:r w:rsidR="00E6158B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look to </w:t>
      </w:r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influence this. The example Tracey used to bring this point home was learning a new language. If we </w:t>
      </w:r>
      <w:proofErr w:type="gramStart"/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were deserted</w:t>
      </w:r>
      <w:proofErr w:type="gramEnd"/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in a foreign country, with no support, we would learn the language </w:t>
      </w:r>
      <w:r w:rsidR="00C02BD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because </w:t>
      </w:r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we </w:t>
      </w:r>
      <w:r w:rsidR="00C02BD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absolutely </w:t>
      </w:r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needed to. If we have a choice to learn and it is not </w:t>
      </w:r>
      <w:r w:rsidR="00C02BD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so </w:t>
      </w:r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essential, then we take longer to do this, or indeed </w:t>
      </w:r>
      <w:proofErr w:type="gramStart"/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don’t</w:t>
      </w:r>
      <w:proofErr w:type="gramEnd"/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do it! Clearly, we are not being limited by our capabi</w:t>
      </w:r>
      <w:r w:rsidR="00B218D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lity to learn, but </w:t>
      </w:r>
      <w:proofErr w:type="gramStart"/>
      <w:r w:rsidR="00B218D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by ourselves and our mind set</w:t>
      </w:r>
      <w:proofErr w:type="gramEnd"/>
      <w:r w:rsidR="00B218D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.</w:t>
      </w:r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This point needs to be at the forefront of your mind, when your board or your operatives </w:t>
      </w:r>
      <w:proofErr w:type="gramStart"/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won’t</w:t>
      </w:r>
      <w:proofErr w:type="gramEnd"/>
      <w:r w:rsidR="00136D2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think differently – it i</w:t>
      </w:r>
      <w:r w:rsidR="0076742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s difficult for them to do this, it doesn’t come naturally and you need to take this into account. </w:t>
      </w:r>
    </w:p>
    <w:p w:rsidR="00DB0DF7" w:rsidRDefault="00DB0DF7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Two volunteers </w:t>
      </w:r>
      <w:proofErr w:type="gramStart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>were called</w:t>
      </w:r>
      <w:proofErr w:type="gramEnd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for, two people nervously agreed and they were tasked with throwing a ball between them. To begin with, this was slow and rather </w:t>
      </w:r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awkward</w:t>
      </w: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, after a few throws this speeded up and a rhythm </w:t>
      </w:r>
      <w:proofErr w:type="gramStart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>was found</w:t>
      </w:r>
      <w:proofErr w:type="gramEnd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. </w:t>
      </w:r>
      <w:r w:rsidR="00D34A1B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This is because both brains were taking in lots of factors, </w:t>
      </w:r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t</w:t>
      </w:r>
      <w:r w:rsidR="00D34A1B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he size </w:t>
      </w:r>
      <w:r w:rsidR="00B77A49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and </w:t>
      </w:r>
      <w:r w:rsidR="00D34A1B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shape of the ball, the speed, the othe</w:t>
      </w:r>
      <w:r w:rsidR="009642CB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r thrower, not wanting to fail to name a few. </w:t>
      </w:r>
      <w:r w:rsidR="00D34A1B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However, very quickly the volunteers were able to achieve success. This is the same for our workforce, they are weighing up </w:t>
      </w:r>
      <w:proofErr w:type="gramStart"/>
      <w:r w:rsidR="00D34A1B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a lot of</w:t>
      </w:r>
      <w:proofErr w:type="gramEnd"/>
      <w:r w:rsidR="00D34A1B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factors from a lot places, and this will be in addition to preconceived ideas – especially with regard to what success is.</w:t>
      </w:r>
      <w:r w:rsidR="00316A3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This means that you need to support that to get to that comfortable position. </w:t>
      </w:r>
    </w:p>
    <w:p w:rsidR="00D34A1B" w:rsidRDefault="00D34A1B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lastRenderedPageBreak/>
        <w:t xml:space="preserve">This </w:t>
      </w:r>
      <w:r w:rsidR="00520ABA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exercise </w:t>
      </w: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highlighted the need for a compelling vision. Everyone remembers Martin Luther King </w:t>
      </w:r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“I</w:t>
      </w: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have a dream”, if this had been “I have an idea</w:t>
      </w:r>
      <w:r w:rsidR="00F777D7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, but I’m not sure about it” his</w:t>
      </w: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following and results from it</w:t>
      </w:r>
      <w:r w:rsidR="00042C11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would have been very different!</w:t>
      </w:r>
    </w:p>
    <w:p w:rsidR="00042C11" w:rsidRDefault="00042C11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Carol </w:t>
      </w:r>
      <w:proofErr w:type="spellStart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>Dweck</w:t>
      </w:r>
      <w:proofErr w:type="spellEnd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, highlighted the difference between a growth </w:t>
      </w:r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mind set</w:t>
      </w: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and a fixed </w:t>
      </w:r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mind set</w:t>
      </w: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and this will seriously affect how open individuals are to new ideas </w:t>
      </w:r>
      <w:proofErr w:type="gramStart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>and also</w:t>
      </w:r>
      <w:proofErr w:type="gramEnd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their fear of failure. You need a real goal, a reason to change and motivate you to accept a new idea, without this you are likely to fail. This is why so many </w:t>
      </w:r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New Year’s</w:t>
      </w: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resolutions fail and fail so quickly. This again needs to be at the forefront of your mind </w:t>
      </w:r>
      <w:r w:rsidR="00A76193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when you trying to convince your workforce, you need to give them that compelling vision and the will, desire and motivation to change. </w:t>
      </w:r>
    </w:p>
    <w:p w:rsidR="008B0608" w:rsidRDefault="008B0608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5B4194" w:rsidRDefault="005B4194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150C5A" w:rsidRDefault="00150C5A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150C5A" w:rsidRDefault="00150C5A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150C5A" w:rsidRDefault="00150C5A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8B0608" w:rsidRDefault="008B0608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Then another great picture for us to remind us of how to grow. The lobster! The lobster </w:t>
      </w:r>
      <w:r w:rsidR="00A307BF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has to shed </w:t>
      </w:r>
      <w:proofErr w:type="spellStart"/>
      <w:proofErr w:type="gramStart"/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it</w:t>
      </w:r>
      <w:r w:rsidR="0055622A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’</w:t>
      </w:r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s</w:t>
      </w:r>
      <w:proofErr w:type="spellEnd"/>
      <w:proofErr w:type="gramEnd"/>
      <w:r w:rsidR="00A307BF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shell to enable it to continue to grow, but this obviously leaves it very </w:t>
      </w:r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vulnerable</w:t>
      </w:r>
      <w:r w:rsidR="00A307BF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, but this is essential to growing – as it is with us and your workforce. </w:t>
      </w:r>
      <w:r w:rsidR="00E8476B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Tracey also reminded us that it can be a real positive to demonstrate </w:t>
      </w:r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vulnerability</w:t>
      </w:r>
      <w:r w:rsidR="00AB353C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, but most people are uncomfortable with it. </w:t>
      </w:r>
    </w:p>
    <w:p w:rsidR="008B0608" w:rsidRDefault="00E8476B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>So what do we need this compelling vision to be</w:t>
      </w:r>
      <w:r w:rsidR="00367B75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? </w:t>
      </w:r>
      <w:proofErr w:type="gramStart"/>
      <w:r w:rsidR="00367B75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F</w:t>
      </w: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>undamentally</w:t>
      </w:r>
      <w:proofErr w:type="gramEnd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it needs to be realistic for many reasons. The vision needs to be opened up – just </w:t>
      </w:r>
      <w:proofErr w:type="gramStart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>facts and figures</w:t>
      </w:r>
      <w:proofErr w:type="gramEnd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are not enough for the vast majority of people. </w:t>
      </w:r>
    </w:p>
    <w:p w:rsidR="00E8476B" w:rsidRDefault="00B11E03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At L &amp; G Modular </w:t>
      </w:r>
      <w:proofErr w:type="gramStart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>Homes</w:t>
      </w:r>
      <w:proofErr w:type="gramEnd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they are applying science to HR in the same way that marketing has done in recent times. They </w:t>
      </w:r>
      <w:r w:rsidR="00837D40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categorise all employees so that they can ensure that they truly understand them. Tracey did expand on the fact </w:t>
      </w:r>
      <w:r w:rsidR="00B11FDD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that this was possible given the </w:t>
      </w:r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start-up</w:t>
      </w:r>
      <w:r w:rsidR="00B11FDD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nature of the business </w:t>
      </w:r>
      <w:proofErr w:type="gramStart"/>
      <w:r w:rsidR="00B11FDD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and also</w:t>
      </w:r>
      <w:proofErr w:type="gramEnd"/>
      <w:r w:rsidR="00B11FDD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the overall size. </w:t>
      </w:r>
      <w:r w:rsidR="00633D31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Bit by doing this can understand their employees </w:t>
      </w:r>
      <w:proofErr w:type="spellStart"/>
      <w:r w:rsidR="00633D31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mindsets</w:t>
      </w:r>
      <w:proofErr w:type="spellEnd"/>
      <w:r w:rsidR="00633D31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</w:t>
      </w:r>
      <w:proofErr w:type="gramStart"/>
      <w:r w:rsidR="00633D31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and also</w:t>
      </w:r>
      <w:proofErr w:type="gramEnd"/>
      <w:r w:rsidR="00633D31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how best to influence this. </w:t>
      </w:r>
    </w:p>
    <w:p w:rsidR="00CB60B6" w:rsidRDefault="00CB60B6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proofErr w:type="gramStart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lastRenderedPageBreak/>
        <w:t>But</w:t>
      </w:r>
      <w:proofErr w:type="gramEnd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Tracey was very clear that working with L &amp; G Modular Homes was about High Performance and if not then you would not be staying. It has taken a while to agree what this needs to look like and </w:t>
      </w:r>
      <w:proofErr w:type="gramStart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>hasn’t</w:t>
      </w:r>
      <w:proofErr w:type="gramEnd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been a comfortable journey. However, they now have a very clear road map and oper</w:t>
      </w:r>
      <w:r w:rsidR="00CF32DF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ate through a very open culture, which with a headcount of 150 is easier to facilitate and drive then a much larger workforce. </w:t>
      </w:r>
      <w:r w:rsidR="00104273"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Employees are encouraged to challenge and this is in a safe and secure culture, again supported by the size of the organisation. </w:t>
      </w:r>
    </w:p>
    <w:p w:rsidR="00104273" w:rsidRDefault="00104273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This culture is reflective of what the business is looking to achieve in the market, it is challenging the norm, </w:t>
      </w:r>
      <w:proofErr w:type="gramStart"/>
      <w:r w:rsidR="005B4194">
        <w:rPr>
          <w:rFonts w:asciiTheme="minorHAnsi" w:eastAsia="Calibri" w:hAnsiTheme="minorHAnsi"/>
          <w:bCs/>
          <w:color w:val="000000" w:themeColor="text1"/>
          <w:sz w:val="22"/>
          <w:szCs w:val="22"/>
        </w:rPr>
        <w:t>modular</w:t>
      </w:r>
      <w:proofErr w:type="gramEnd"/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 housing is still relatively new and flies in the face of traditional house building.</w:t>
      </w:r>
    </w:p>
    <w:p w:rsidR="0072468D" w:rsidRDefault="0072468D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bCs/>
          <w:color w:val="000000" w:themeColor="text1"/>
          <w:sz w:val="22"/>
          <w:szCs w:val="22"/>
        </w:rPr>
        <w:t xml:space="preserve">Everyone agreed that this was a great discussion and some very useful examples to bring the key messages home. </w:t>
      </w:r>
    </w:p>
    <w:p w:rsidR="00040668" w:rsidRDefault="00040668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104273" w:rsidRDefault="00104273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8B0608" w:rsidRDefault="008B0608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042C11" w:rsidRDefault="00042C11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042C11" w:rsidRDefault="00042C11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D34A1B" w:rsidRDefault="00D34A1B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D34A1B" w:rsidRDefault="00D34A1B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D34A1B" w:rsidRPr="00DB0DF7" w:rsidRDefault="00D34A1B" w:rsidP="009D5BE1">
      <w:pPr>
        <w:spacing w:after="200" w:line="276" w:lineRule="auto"/>
        <w:jc w:val="both"/>
        <w:rPr>
          <w:rFonts w:asciiTheme="minorHAnsi" w:eastAsia="Calibri" w:hAnsiTheme="minorHAnsi"/>
          <w:bCs/>
          <w:color w:val="000000" w:themeColor="text1"/>
          <w:sz w:val="22"/>
          <w:szCs w:val="22"/>
        </w:rPr>
      </w:pPr>
    </w:p>
    <w:p w:rsidR="00C64811" w:rsidRDefault="00C64811" w:rsidP="009D5BE1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bookmarkEnd w:id="0"/>
    <w:p w:rsidR="006A4FBF" w:rsidRDefault="006A4FBF" w:rsidP="009D5BE1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A4FBF" w:rsidRDefault="006A4FBF" w:rsidP="009D5BE1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24F47" w:rsidRDefault="00924F47" w:rsidP="009D5BE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24F47" w:rsidRDefault="00924F47" w:rsidP="009D5BE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B7367" w:rsidRDefault="006A62EF" w:rsidP="009D5BE1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</w:t>
      </w:r>
      <w:r w:rsidR="002C3C76">
        <w:rPr>
          <w:rFonts w:ascii="Calibri" w:eastAsia="Calibri" w:hAnsi="Calibri" w:cs="Calibri"/>
          <w:sz w:val="22"/>
          <w:szCs w:val="22"/>
        </w:rPr>
        <w:t xml:space="preserve">ur exclusive HR Directors </w:t>
      </w:r>
      <w:r>
        <w:rPr>
          <w:rFonts w:ascii="Calibri" w:eastAsia="Calibri" w:hAnsi="Calibri" w:cs="Calibri"/>
          <w:sz w:val="22"/>
          <w:szCs w:val="22"/>
        </w:rPr>
        <w:t xml:space="preserve">Boardroom discussion </w:t>
      </w:r>
      <w:bookmarkStart w:id="1" w:name="_GoBack"/>
      <w:bookmarkEnd w:id="1"/>
      <w:r w:rsidR="002C3C76">
        <w:rPr>
          <w:rFonts w:ascii="Calibri" w:eastAsia="Calibri" w:hAnsi="Calibri" w:cs="Calibri"/>
          <w:sz w:val="22"/>
          <w:szCs w:val="22"/>
        </w:rPr>
        <w:t>gives you unprecedented access to valuable business and professional contacts as well as providing you with unique opportunities to debate topical and strategic HR issues.</w:t>
      </w:r>
      <w:r>
        <w:rPr>
          <w:rFonts w:ascii="Calibri" w:eastAsia="Calibri" w:hAnsi="Calibri" w:cs="Calibri"/>
          <w:sz w:val="22"/>
          <w:szCs w:val="22"/>
        </w:rPr>
        <w:t xml:space="preserve"> We have dates in place for 2019</w:t>
      </w:r>
      <w:r w:rsidR="002C3C76">
        <w:rPr>
          <w:rFonts w:ascii="Calibri" w:eastAsia="Calibri" w:hAnsi="Calibri" w:cs="Calibri"/>
          <w:sz w:val="22"/>
          <w:szCs w:val="22"/>
        </w:rPr>
        <w:t xml:space="preserve"> for the debates and well as essential Employment Law Updates. </w:t>
      </w:r>
    </w:p>
    <w:p w:rsidR="003B7367" w:rsidRDefault="002C3C76" w:rsidP="009D5BE1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:rsidR="003B7367" w:rsidRDefault="002C3C76" w:rsidP="009D5B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email </w:t>
      </w:r>
      <w:hyperlink r:id="rId13" w:history="1">
        <w:r>
          <w:rPr>
            <w:rFonts w:ascii="Calibri" w:eastAsia="Calibri" w:hAnsi="Calibri" w:cs="Calibri"/>
            <w:b/>
            <w:bCs/>
            <w:color w:val="0000FF"/>
            <w:sz w:val="22"/>
            <w:szCs w:val="22"/>
            <w:u w:val="single" w:color="0000FF"/>
          </w:rPr>
          <w:t>hrnetworking@ashleykatehr.com</w:t>
        </w:r>
      </w:hyperlink>
      <w:r>
        <w:rPr>
          <w:rFonts w:ascii="Calibri" w:eastAsia="Calibri" w:hAnsi="Calibri" w:cs="Calibri"/>
          <w:sz w:val="22"/>
          <w:szCs w:val="22"/>
        </w:rPr>
        <w:t xml:space="preserve"> to find out more or to book your place.</w:t>
      </w:r>
    </w:p>
    <w:p w:rsidR="006E43EC" w:rsidRPr="00924F47" w:rsidRDefault="006E43EC" w:rsidP="009D5BE1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3B7367" w:rsidRDefault="005B4194" w:rsidP="00D2108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rture events 201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47" w:rsidRDefault="00924F47" w:rsidP="00D2108E">
      <w:pPr>
        <w:jc w:val="center"/>
        <w:rPr>
          <w:sz w:val="20"/>
          <w:szCs w:val="20"/>
        </w:rPr>
      </w:pPr>
    </w:p>
    <w:p w:rsidR="00924F47" w:rsidRDefault="00924F47" w:rsidP="00924F47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 wp14:anchorId="39C886FC" wp14:editId="5CEF380E">
            <wp:simplePos x="0" y="0"/>
            <wp:positionH relativeFrom="column">
              <wp:align>left</wp:align>
            </wp:positionH>
            <wp:positionV relativeFrom="paragraph">
              <wp:posOffset>149860</wp:posOffset>
            </wp:positionV>
            <wp:extent cx="142875" cy="285750"/>
            <wp:effectExtent l="0" t="0" r="0" b="0"/>
            <wp:wrapSquare wrapText="bothSides"/>
            <wp:docPr id="100007" name="Picture 100007" descr="https://gallery.mailchimp.com/87ce8f25ff95a7f203c76c0ab/images/47662b23-df38-45d4-8005-9b2f50193f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22783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1437"/>
        <w:gridCol w:w="1595"/>
        <w:gridCol w:w="1544"/>
        <w:gridCol w:w="1481"/>
      </w:tblGrid>
      <w:tr w:rsidR="00924F47" w:rsidTr="00C65A63">
        <w:trPr>
          <w:jc w:val="center"/>
        </w:trPr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5"/>
            </w:tblGrid>
            <w:tr w:rsidR="00924F47" w:rsidTr="00C65A63">
              <w:tc>
                <w:tcPr>
                  <w:tcW w:w="0" w:type="auto"/>
                  <w:tcMar>
                    <w:top w:w="5" w:type="dxa"/>
                    <w:left w:w="5" w:type="dxa"/>
                    <w:bottom w:w="140" w:type="dxa"/>
                    <w:right w:w="155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5"/>
                  </w:tblGrid>
                  <w:tr w:rsidR="00924F47" w:rsidTr="00C65A63">
                    <w:tc>
                      <w:tcPr>
                        <w:tcW w:w="0" w:type="auto"/>
                        <w:tcMar>
                          <w:top w:w="80" w:type="dxa"/>
                          <w:left w:w="140" w:type="dxa"/>
                          <w:bottom w:w="80" w:type="dxa"/>
                          <w:right w:w="155" w:type="dxa"/>
                        </w:tcMar>
                        <w:vAlign w:val="center"/>
                      </w:tcPr>
                      <w:tbl>
                        <w:tblPr>
                          <w:tblW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0"/>
                          <w:gridCol w:w="670"/>
                        </w:tblGrid>
                        <w:tr w:rsidR="00924F47" w:rsidTr="00C65A63">
                          <w:tc>
                            <w:tcPr>
                              <w:tcW w:w="360" w:type="dxa"/>
                              <w:tcMar>
                                <w:top w:w="5" w:type="dxa"/>
                                <w:left w:w="5" w:type="dxa"/>
                                <w:bottom w:w="5" w:type="dxa"/>
                                <w:right w:w="5" w:type="dxa"/>
                              </w:tcMar>
                              <w:vAlign w:val="center"/>
                            </w:tcPr>
                            <w:p w:rsidR="00924F47" w:rsidRDefault="006A62EF" w:rsidP="00C65A63">
                              <w:pPr>
                                <w:spacing w:after="200" w:line="276" w:lineRule="auto"/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hyperlink r:id="rId16" w:tgtFrame="_blank" w:history="1">
                                <w:r w:rsidR="00924F47">
                                  <w:rPr>
                                    <w:noProof/>
                                    <w:color w:val="0000EE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60464800" wp14:editId="03451CD1">
                                      <wp:extent cx="228600" cy="228600"/>
                                      <wp:effectExtent l="0" t="0" r="0" b="0"/>
                                      <wp:docPr id="100008" name="Picture 1000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29262579" name="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8600" cy="228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5" w:type="dxa"/>
                                <w:left w:w="80" w:type="dxa"/>
                                <w:bottom w:w="5" w:type="dxa"/>
                                <w:right w:w="5" w:type="dxa"/>
                              </w:tcMar>
                              <w:vAlign w:val="center"/>
                            </w:tcPr>
                            <w:p w:rsidR="00924F47" w:rsidRDefault="006A62EF" w:rsidP="00C65A63">
                              <w:pPr>
                                <w:spacing w:after="200" w:line="276" w:lineRule="auto"/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hyperlink r:id="rId18" w:history="1">
                                <w:r w:rsidR="00924F47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505050"/>
                                    <w:sz w:val="17"/>
                                    <w:szCs w:val="17"/>
                                    <w:u w:val="single" w:color="505050"/>
                                  </w:rPr>
                                  <w:t>Website</w:t>
                                </w:r>
                              </w:hyperlink>
                              <w:r w:rsidR="00924F47"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24F47" w:rsidRDefault="00924F47" w:rsidP="00C65A63">
                        <w:pPr>
                          <w:spacing w:after="200" w:line="276" w:lineRule="auto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24F47" w:rsidRDefault="00924F47" w:rsidP="00C65A63">
                  <w:pPr>
                    <w:spacing w:after="20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24F47" w:rsidRDefault="00924F47" w:rsidP="00C65A63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7"/>
            </w:tblGrid>
            <w:tr w:rsidR="00924F47" w:rsidTr="00C65A63">
              <w:tc>
                <w:tcPr>
                  <w:tcW w:w="0" w:type="auto"/>
                  <w:tcMar>
                    <w:top w:w="5" w:type="dxa"/>
                    <w:left w:w="5" w:type="dxa"/>
                    <w:bottom w:w="140" w:type="dxa"/>
                    <w:right w:w="155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7"/>
                  </w:tblGrid>
                  <w:tr w:rsidR="00924F47" w:rsidTr="00C65A63">
                    <w:tc>
                      <w:tcPr>
                        <w:tcW w:w="0" w:type="auto"/>
                        <w:tcMar>
                          <w:top w:w="80" w:type="dxa"/>
                          <w:left w:w="140" w:type="dxa"/>
                          <w:bottom w:w="80" w:type="dxa"/>
                          <w:right w:w="155" w:type="dxa"/>
                        </w:tcMar>
                        <w:vAlign w:val="center"/>
                      </w:tcPr>
                      <w:tbl>
                        <w:tblPr>
                          <w:tblW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0"/>
                          <w:gridCol w:w="602"/>
                        </w:tblGrid>
                        <w:tr w:rsidR="00924F47" w:rsidTr="00C65A63">
                          <w:tc>
                            <w:tcPr>
                              <w:tcW w:w="360" w:type="dxa"/>
                              <w:tcMar>
                                <w:top w:w="5" w:type="dxa"/>
                                <w:left w:w="5" w:type="dxa"/>
                                <w:bottom w:w="5" w:type="dxa"/>
                                <w:right w:w="5" w:type="dxa"/>
                              </w:tcMar>
                              <w:vAlign w:val="center"/>
                            </w:tcPr>
                            <w:p w:rsidR="00924F47" w:rsidRDefault="006A62EF" w:rsidP="00C65A63">
                              <w:pPr>
                                <w:spacing w:after="200" w:line="276" w:lineRule="auto"/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hyperlink r:id="rId19" w:tgtFrame="_blank" w:history="1">
                                <w:r w:rsidR="00924F47">
                                  <w:rPr>
                                    <w:noProof/>
                                    <w:color w:val="0000EE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0D6F3839" wp14:editId="7ECCA252">
                                      <wp:extent cx="228600" cy="228600"/>
                                      <wp:effectExtent l="0" t="0" r="0" b="0"/>
                                      <wp:docPr id="100009" name="Picture 1000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40142234" name="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2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8600" cy="228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5" w:type="dxa"/>
                                <w:left w:w="80" w:type="dxa"/>
                                <w:bottom w:w="5" w:type="dxa"/>
                                <w:right w:w="5" w:type="dxa"/>
                              </w:tcMar>
                              <w:vAlign w:val="center"/>
                            </w:tcPr>
                            <w:p w:rsidR="00924F47" w:rsidRDefault="006A62EF" w:rsidP="00C65A63">
                              <w:pPr>
                                <w:spacing w:after="200" w:line="276" w:lineRule="auto"/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hyperlink r:id="rId21" w:history="1">
                                <w:r w:rsidR="00924F47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505050"/>
                                    <w:sz w:val="17"/>
                                    <w:szCs w:val="17"/>
                                    <w:u w:val="single" w:color="505050"/>
                                  </w:rPr>
                                  <w:t>Twitter</w:t>
                                </w:r>
                              </w:hyperlink>
                              <w:r w:rsidR="00924F47"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24F47" w:rsidRDefault="00924F47" w:rsidP="00C65A63">
                        <w:pPr>
                          <w:spacing w:after="200" w:line="276" w:lineRule="auto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24F47" w:rsidRDefault="00924F47" w:rsidP="00C65A63">
                  <w:pPr>
                    <w:spacing w:after="20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24F47" w:rsidRDefault="00924F47" w:rsidP="00C65A63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</w:tblGrid>
            <w:tr w:rsidR="00924F47" w:rsidTr="00C65A63">
              <w:tc>
                <w:tcPr>
                  <w:tcW w:w="0" w:type="auto"/>
                  <w:tcMar>
                    <w:top w:w="5" w:type="dxa"/>
                    <w:left w:w="5" w:type="dxa"/>
                    <w:bottom w:w="140" w:type="dxa"/>
                    <w:right w:w="155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"/>
                  </w:tblGrid>
                  <w:tr w:rsidR="00924F47" w:rsidTr="00C65A63">
                    <w:tc>
                      <w:tcPr>
                        <w:tcW w:w="0" w:type="auto"/>
                        <w:tcMar>
                          <w:top w:w="80" w:type="dxa"/>
                          <w:left w:w="140" w:type="dxa"/>
                          <w:bottom w:w="80" w:type="dxa"/>
                          <w:right w:w="155" w:type="dxa"/>
                        </w:tcMar>
                        <w:vAlign w:val="center"/>
                      </w:tcPr>
                      <w:tbl>
                        <w:tblPr>
                          <w:tblW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0"/>
                          <w:gridCol w:w="760"/>
                        </w:tblGrid>
                        <w:tr w:rsidR="00924F47" w:rsidTr="00C65A63">
                          <w:tc>
                            <w:tcPr>
                              <w:tcW w:w="360" w:type="dxa"/>
                              <w:tcMar>
                                <w:top w:w="5" w:type="dxa"/>
                                <w:left w:w="5" w:type="dxa"/>
                                <w:bottom w:w="5" w:type="dxa"/>
                                <w:right w:w="5" w:type="dxa"/>
                              </w:tcMar>
                              <w:vAlign w:val="center"/>
                            </w:tcPr>
                            <w:p w:rsidR="00924F47" w:rsidRDefault="006A62EF" w:rsidP="00C65A63">
                              <w:pPr>
                                <w:spacing w:after="200" w:line="276" w:lineRule="auto"/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hyperlink r:id="rId22" w:tgtFrame="_blank" w:history="1">
                                <w:r w:rsidR="00924F47">
                                  <w:rPr>
                                    <w:noProof/>
                                    <w:color w:val="0000EE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0B7C1CCD" wp14:editId="3369A570">
                                      <wp:extent cx="228600" cy="228600"/>
                                      <wp:effectExtent l="0" t="0" r="0" b="0"/>
                                      <wp:docPr id="100010" name="Picture 1000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16738379" name="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2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8600" cy="228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5" w:type="dxa"/>
                                <w:left w:w="80" w:type="dxa"/>
                                <w:bottom w:w="5" w:type="dxa"/>
                                <w:right w:w="5" w:type="dxa"/>
                              </w:tcMar>
                              <w:vAlign w:val="center"/>
                            </w:tcPr>
                            <w:p w:rsidR="00924F47" w:rsidRDefault="006A62EF" w:rsidP="00C65A63">
                              <w:pPr>
                                <w:spacing w:after="200" w:line="276" w:lineRule="auto"/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hyperlink r:id="rId24" w:history="1">
                                <w:r w:rsidR="00924F47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505050"/>
                                    <w:sz w:val="17"/>
                                    <w:szCs w:val="17"/>
                                    <w:u w:val="single" w:color="505050"/>
                                  </w:rPr>
                                  <w:t>Facebook</w:t>
                                </w:r>
                              </w:hyperlink>
                              <w:r w:rsidR="00924F47"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24F47" w:rsidRDefault="00924F47" w:rsidP="00C65A63">
                        <w:pPr>
                          <w:spacing w:after="200" w:line="276" w:lineRule="auto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24F47" w:rsidRDefault="00924F47" w:rsidP="00C65A63">
                  <w:pPr>
                    <w:spacing w:after="20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24F47" w:rsidRDefault="00924F47" w:rsidP="00C65A63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"/>
            </w:tblGrid>
            <w:tr w:rsidR="00924F47" w:rsidTr="00C65A63">
              <w:tc>
                <w:tcPr>
                  <w:tcW w:w="0" w:type="auto"/>
                  <w:tcMar>
                    <w:top w:w="5" w:type="dxa"/>
                    <w:left w:w="5" w:type="dxa"/>
                    <w:bottom w:w="140" w:type="dxa"/>
                    <w:right w:w="155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4"/>
                  </w:tblGrid>
                  <w:tr w:rsidR="00924F47" w:rsidTr="00C65A63">
                    <w:tc>
                      <w:tcPr>
                        <w:tcW w:w="0" w:type="auto"/>
                        <w:tcMar>
                          <w:top w:w="80" w:type="dxa"/>
                          <w:left w:w="140" w:type="dxa"/>
                          <w:bottom w:w="80" w:type="dxa"/>
                          <w:right w:w="155" w:type="dxa"/>
                        </w:tcMar>
                        <w:vAlign w:val="center"/>
                      </w:tcPr>
                      <w:tbl>
                        <w:tblPr>
                          <w:tblW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0"/>
                          <w:gridCol w:w="709"/>
                        </w:tblGrid>
                        <w:tr w:rsidR="00924F47" w:rsidTr="00C65A63">
                          <w:tc>
                            <w:tcPr>
                              <w:tcW w:w="360" w:type="dxa"/>
                              <w:tcMar>
                                <w:top w:w="5" w:type="dxa"/>
                                <w:left w:w="5" w:type="dxa"/>
                                <w:bottom w:w="5" w:type="dxa"/>
                                <w:right w:w="5" w:type="dxa"/>
                              </w:tcMar>
                              <w:vAlign w:val="center"/>
                            </w:tcPr>
                            <w:p w:rsidR="00924F47" w:rsidRDefault="006A62EF" w:rsidP="00C65A63">
                              <w:pPr>
                                <w:spacing w:after="200" w:line="276" w:lineRule="auto"/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hyperlink r:id="rId25" w:tgtFrame="_blank" w:history="1">
                                <w:r w:rsidR="00924F47">
                                  <w:rPr>
                                    <w:noProof/>
                                    <w:color w:val="0000EE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76FC7FAB" wp14:editId="4FBAB5FC">
                                      <wp:extent cx="228600" cy="228600"/>
                                      <wp:effectExtent l="0" t="0" r="0" b="0"/>
                                      <wp:docPr id="100011" name="Picture 1000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37579499" name="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26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8600" cy="228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5" w:type="dxa"/>
                                <w:left w:w="80" w:type="dxa"/>
                                <w:bottom w:w="5" w:type="dxa"/>
                                <w:right w:w="5" w:type="dxa"/>
                              </w:tcMar>
                              <w:vAlign w:val="center"/>
                            </w:tcPr>
                            <w:p w:rsidR="00924F47" w:rsidRDefault="006A62EF" w:rsidP="00C65A63">
                              <w:pPr>
                                <w:spacing w:after="200" w:line="276" w:lineRule="auto"/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hyperlink r:id="rId27" w:history="1">
                                <w:r w:rsidR="00924F47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505050"/>
                                    <w:sz w:val="17"/>
                                    <w:szCs w:val="17"/>
                                    <w:u w:val="single" w:color="505050"/>
                                  </w:rPr>
                                  <w:t>YouTube</w:t>
                                </w:r>
                              </w:hyperlink>
                              <w:r w:rsidR="00924F47"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24F47" w:rsidRDefault="00924F47" w:rsidP="00C65A63">
                        <w:pPr>
                          <w:spacing w:after="200" w:line="276" w:lineRule="auto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24F47" w:rsidRDefault="00924F47" w:rsidP="00C65A63">
                  <w:pPr>
                    <w:spacing w:after="20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24F47" w:rsidRDefault="00924F47" w:rsidP="00C65A63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1"/>
            </w:tblGrid>
            <w:tr w:rsidR="00924F47" w:rsidTr="00C65A63">
              <w:tc>
                <w:tcPr>
                  <w:tcW w:w="0" w:type="auto"/>
                  <w:tcMar>
                    <w:top w:w="5" w:type="dxa"/>
                    <w:left w:w="5" w:type="dxa"/>
                    <w:bottom w:w="140" w:type="dxa"/>
                    <w:right w:w="5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1"/>
                  </w:tblGrid>
                  <w:tr w:rsidR="00924F47" w:rsidTr="00C65A63">
                    <w:tc>
                      <w:tcPr>
                        <w:tcW w:w="0" w:type="auto"/>
                        <w:tcMar>
                          <w:top w:w="80" w:type="dxa"/>
                          <w:left w:w="140" w:type="dxa"/>
                          <w:bottom w:w="80" w:type="dxa"/>
                          <w:right w:w="155" w:type="dxa"/>
                        </w:tcMar>
                        <w:vAlign w:val="center"/>
                      </w:tcPr>
                      <w:tbl>
                        <w:tblPr>
                          <w:tblW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0"/>
                          <w:gridCol w:w="796"/>
                        </w:tblGrid>
                        <w:tr w:rsidR="00924F47" w:rsidTr="00C65A63">
                          <w:tc>
                            <w:tcPr>
                              <w:tcW w:w="360" w:type="dxa"/>
                              <w:tcMar>
                                <w:top w:w="5" w:type="dxa"/>
                                <w:left w:w="5" w:type="dxa"/>
                                <w:bottom w:w="5" w:type="dxa"/>
                                <w:right w:w="5" w:type="dxa"/>
                              </w:tcMar>
                              <w:vAlign w:val="center"/>
                            </w:tcPr>
                            <w:p w:rsidR="00924F47" w:rsidRDefault="006A62EF" w:rsidP="00C65A63">
                              <w:pPr>
                                <w:spacing w:after="200" w:line="276" w:lineRule="auto"/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hyperlink r:id="rId28" w:tgtFrame="_blank" w:history="1">
                                <w:r w:rsidR="00924F47">
                                  <w:rPr>
                                    <w:noProof/>
                                    <w:color w:val="0000EE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48E46FEB" wp14:editId="7EA66F5F">
                                      <wp:extent cx="228600" cy="228600"/>
                                      <wp:effectExtent l="0" t="0" r="0" b="0"/>
                                      <wp:docPr id="100012" name="Picture 1000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9710853" name="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2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8600" cy="228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5" w:type="dxa"/>
                                <w:left w:w="80" w:type="dxa"/>
                                <w:bottom w:w="5" w:type="dxa"/>
                                <w:right w:w="5" w:type="dxa"/>
                              </w:tcMar>
                              <w:vAlign w:val="center"/>
                            </w:tcPr>
                            <w:p w:rsidR="00924F47" w:rsidRDefault="006A62EF" w:rsidP="00C65A63">
                              <w:pPr>
                                <w:spacing w:after="200" w:line="276" w:lineRule="auto"/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hyperlink r:id="rId30" w:history="1">
                                <w:r w:rsidR="00924F47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505050"/>
                                    <w:sz w:val="17"/>
                                    <w:szCs w:val="17"/>
                                    <w:u w:val="single" w:color="505050"/>
                                  </w:rPr>
                                  <w:t>Instagram</w:t>
                                </w:r>
                              </w:hyperlink>
                              <w:r w:rsidR="00924F47"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24F47" w:rsidRDefault="00924F47" w:rsidP="00C65A63">
                        <w:pPr>
                          <w:spacing w:after="200" w:line="276" w:lineRule="auto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24F47" w:rsidRDefault="00924F47" w:rsidP="00C65A63">
                  <w:pPr>
                    <w:spacing w:after="200"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24F47" w:rsidRDefault="00924F47" w:rsidP="00C65A63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24F47" w:rsidRDefault="00924F47" w:rsidP="005B4194">
      <w:pPr>
        <w:spacing w:after="200" w:line="360" w:lineRule="auto"/>
        <w:jc w:val="center"/>
        <w:rPr>
          <w:sz w:val="18"/>
          <w:szCs w:val="18"/>
        </w:rPr>
      </w:pPr>
      <w:r>
        <w:rPr>
          <w:rFonts w:ascii="Helvetica" w:eastAsia="Helvetica" w:hAnsi="Helvetica" w:cs="Helvetica"/>
          <w:i/>
          <w:iCs/>
          <w:color w:val="505050"/>
          <w:sz w:val="18"/>
          <w:szCs w:val="18"/>
        </w:rPr>
        <w:t xml:space="preserve">Copyright © </w:t>
      </w:r>
      <w:r w:rsidR="005B4194">
        <w:rPr>
          <w:rFonts w:ascii="Helvetica" w:eastAsia="Helvetica" w:hAnsi="Helvetica" w:cs="Helvetica"/>
          <w:i/>
          <w:iCs/>
          <w:color w:val="505050"/>
          <w:sz w:val="18"/>
          <w:szCs w:val="18"/>
        </w:rPr>
        <w:t>2019</w:t>
      </w:r>
      <w:r>
        <w:rPr>
          <w:rFonts w:ascii="Helvetica" w:eastAsia="Helvetica" w:hAnsi="Helvetica" w:cs="Helvetica"/>
          <w:i/>
          <w:iCs/>
          <w:color w:val="505050"/>
          <w:sz w:val="18"/>
          <w:szCs w:val="18"/>
        </w:rPr>
        <w:t xml:space="preserve"> Ashley Kate HR Ltd, All rights reserved.</w:t>
      </w:r>
    </w:p>
    <w:p w:rsidR="00924F47" w:rsidRDefault="00924F47" w:rsidP="00924F47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:rsidR="00924F47" w:rsidRDefault="00924F47" w:rsidP="00924F4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24F47" w:rsidRDefault="00924F47" w:rsidP="00924F4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24F47" w:rsidRDefault="00924F47" w:rsidP="00924F4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24F47" w:rsidRDefault="00924F47" w:rsidP="00D2108E">
      <w:pPr>
        <w:jc w:val="center"/>
        <w:rPr>
          <w:sz w:val="20"/>
          <w:szCs w:val="20"/>
        </w:rPr>
      </w:pPr>
    </w:p>
    <w:p w:rsidR="00924F47" w:rsidRDefault="00924F47" w:rsidP="00D2108E">
      <w:pPr>
        <w:jc w:val="center"/>
        <w:rPr>
          <w:sz w:val="20"/>
          <w:szCs w:val="20"/>
        </w:rPr>
      </w:pPr>
    </w:p>
    <w:p w:rsidR="00924F47" w:rsidRPr="00D2108E" w:rsidRDefault="00924F47" w:rsidP="00D2108E">
      <w:pPr>
        <w:jc w:val="center"/>
        <w:rPr>
          <w:sz w:val="20"/>
          <w:szCs w:val="20"/>
        </w:rPr>
      </w:pPr>
    </w:p>
    <w:sectPr w:rsidR="00924F47" w:rsidRPr="00D2108E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F7" w:rsidRDefault="00DB0DF7">
      <w:r>
        <w:separator/>
      </w:r>
    </w:p>
  </w:endnote>
  <w:endnote w:type="continuationSeparator" w:id="0">
    <w:p w:rsidR="00DB0DF7" w:rsidRDefault="00DB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F7" w:rsidRDefault="00DB0DF7">
    <w:pPr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5093335</wp:posOffset>
          </wp:positionH>
          <wp:positionV relativeFrom="paragraph">
            <wp:posOffset>-794385</wp:posOffset>
          </wp:positionV>
          <wp:extent cx="1581150" cy="476250"/>
          <wp:effectExtent l="0" t="0" r="0" b="0"/>
          <wp:wrapSquare wrapText="bothSides"/>
          <wp:docPr id="100014" name="Picture 100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88821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0">
                    <a:off x="0" y="0"/>
                    <a:ext cx="15811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F7" w:rsidRDefault="00DB0DF7">
      <w:r>
        <w:separator/>
      </w:r>
    </w:p>
  </w:footnote>
  <w:footnote w:type="continuationSeparator" w:id="0">
    <w:p w:rsidR="00DB0DF7" w:rsidRDefault="00DB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F7" w:rsidRDefault="00DB0DF7">
    <w:pPr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>
          <wp:extent cx="1628775" cy="567913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hley Kate HR and Financ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002" cy="57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B198872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C44A5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860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8805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8067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FA99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3077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6A2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EE0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76A66F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0640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1EEA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0A79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A461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8AA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04E6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F09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9E1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C4C3F"/>
    <w:multiLevelType w:val="hybridMultilevel"/>
    <w:tmpl w:val="9EEC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4EF9"/>
    <w:multiLevelType w:val="hybridMultilevel"/>
    <w:tmpl w:val="D04C8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882"/>
    <w:multiLevelType w:val="hybridMultilevel"/>
    <w:tmpl w:val="F144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5D75"/>
    <w:multiLevelType w:val="hybridMultilevel"/>
    <w:tmpl w:val="3E60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07B7B"/>
    <w:multiLevelType w:val="hybridMultilevel"/>
    <w:tmpl w:val="C10A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67"/>
    <w:rsid w:val="00015B00"/>
    <w:rsid w:val="000307A8"/>
    <w:rsid w:val="00040668"/>
    <w:rsid w:val="00042C11"/>
    <w:rsid w:val="000E0E1D"/>
    <w:rsid w:val="00104273"/>
    <w:rsid w:val="00123B10"/>
    <w:rsid w:val="00136D29"/>
    <w:rsid w:val="00150C5A"/>
    <w:rsid w:val="00151A87"/>
    <w:rsid w:val="001745BE"/>
    <w:rsid w:val="00186AA2"/>
    <w:rsid w:val="001A58BB"/>
    <w:rsid w:val="001D1D90"/>
    <w:rsid w:val="001F4142"/>
    <w:rsid w:val="00255EC2"/>
    <w:rsid w:val="00256B6C"/>
    <w:rsid w:val="00274C0D"/>
    <w:rsid w:val="00280F28"/>
    <w:rsid w:val="00283932"/>
    <w:rsid w:val="00284BF2"/>
    <w:rsid w:val="002858DC"/>
    <w:rsid w:val="002A1FA8"/>
    <w:rsid w:val="002A4824"/>
    <w:rsid w:val="002C3C76"/>
    <w:rsid w:val="002F4576"/>
    <w:rsid w:val="00316A34"/>
    <w:rsid w:val="00351184"/>
    <w:rsid w:val="00357C02"/>
    <w:rsid w:val="00367B75"/>
    <w:rsid w:val="00396312"/>
    <w:rsid w:val="003A605F"/>
    <w:rsid w:val="003B6598"/>
    <w:rsid w:val="003B7367"/>
    <w:rsid w:val="003F1B46"/>
    <w:rsid w:val="003F72A0"/>
    <w:rsid w:val="003F77E3"/>
    <w:rsid w:val="00405E11"/>
    <w:rsid w:val="004424A6"/>
    <w:rsid w:val="004515BA"/>
    <w:rsid w:val="00464634"/>
    <w:rsid w:val="00467ECC"/>
    <w:rsid w:val="0048435F"/>
    <w:rsid w:val="004B56D2"/>
    <w:rsid w:val="004D3FEF"/>
    <w:rsid w:val="004F2902"/>
    <w:rsid w:val="00516289"/>
    <w:rsid w:val="00520ABA"/>
    <w:rsid w:val="0055622A"/>
    <w:rsid w:val="005668B5"/>
    <w:rsid w:val="005A1288"/>
    <w:rsid w:val="005A13B8"/>
    <w:rsid w:val="005B4194"/>
    <w:rsid w:val="00601338"/>
    <w:rsid w:val="00633D31"/>
    <w:rsid w:val="00677A03"/>
    <w:rsid w:val="00696AED"/>
    <w:rsid w:val="006A0678"/>
    <w:rsid w:val="006A4FBF"/>
    <w:rsid w:val="006A62EF"/>
    <w:rsid w:val="006B4AF7"/>
    <w:rsid w:val="006E1F4B"/>
    <w:rsid w:val="006E43EC"/>
    <w:rsid w:val="007142AC"/>
    <w:rsid w:val="0072468D"/>
    <w:rsid w:val="00746D3D"/>
    <w:rsid w:val="00762A40"/>
    <w:rsid w:val="00767424"/>
    <w:rsid w:val="00792CD9"/>
    <w:rsid w:val="007B2C05"/>
    <w:rsid w:val="007C0CDD"/>
    <w:rsid w:val="007C3414"/>
    <w:rsid w:val="008052E6"/>
    <w:rsid w:val="0080741A"/>
    <w:rsid w:val="00837D40"/>
    <w:rsid w:val="0084778D"/>
    <w:rsid w:val="00860234"/>
    <w:rsid w:val="00882D0C"/>
    <w:rsid w:val="008952C5"/>
    <w:rsid w:val="00896C1C"/>
    <w:rsid w:val="008B0608"/>
    <w:rsid w:val="008D70F8"/>
    <w:rsid w:val="009115FF"/>
    <w:rsid w:val="00924F47"/>
    <w:rsid w:val="009642CB"/>
    <w:rsid w:val="009D5BE1"/>
    <w:rsid w:val="009F75D2"/>
    <w:rsid w:val="00A00665"/>
    <w:rsid w:val="00A21160"/>
    <w:rsid w:val="00A307BF"/>
    <w:rsid w:val="00A30862"/>
    <w:rsid w:val="00A76193"/>
    <w:rsid w:val="00A87902"/>
    <w:rsid w:val="00AA31C3"/>
    <w:rsid w:val="00AA5FBA"/>
    <w:rsid w:val="00AA61CC"/>
    <w:rsid w:val="00AA6268"/>
    <w:rsid w:val="00AB353C"/>
    <w:rsid w:val="00AD1C74"/>
    <w:rsid w:val="00AD62EF"/>
    <w:rsid w:val="00B057BA"/>
    <w:rsid w:val="00B11E03"/>
    <w:rsid w:val="00B11FDD"/>
    <w:rsid w:val="00B147AE"/>
    <w:rsid w:val="00B206C9"/>
    <w:rsid w:val="00B218D4"/>
    <w:rsid w:val="00B478D5"/>
    <w:rsid w:val="00B60C2F"/>
    <w:rsid w:val="00B63DD0"/>
    <w:rsid w:val="00B77A49"/>
    <w:rsid w:val="00B84370"/>
    <w:rsid w:val="00B915B1"/>
    <w:rsid w:val="00B95EAB"/>
    <w:rsid w:val="00BA5243"/>
    <w:rsid w:val="00BB1B96"/>
    <w:rsid w:val="00C02BD4"/>
    <w:rsid w:val="00C11C67"/>
    <w:rsid w:val="00C64811"/>
    <w:rsid w:val="00C81A85"/>
    <w:rsid w:val="00CA7964"/>
    <w:rsid w:val="00CB60B6"/>
    <w:rsid w:val="00CE5E95"/>
    <w:rsid w:val="00CE6C44"/>
    <w:rsid w:val="00CF32DF"/>
    <w:rsid w:val="00CF51F7"/>
    <w:rsid w:val="00CF6138"/>
    <w:rsid w:val="00D2108E"/>
    <w:rsid w:val="00D34A1B"/>
    <w:rsid w:val="00D36DB7"/>
    <w:rsid w:val="00D478A8"/>
    <w:rsid w:val="00D572AD"/>
    <w:rsid w:val="00D7225E"/>
    <w:rsid w:val="00D83053"/>
    <w:rsid w:val="00D97265"/>
    <w:rsid w:val="00D972FE"/>
    <w:rsid w:val="00DB0DF7"/>
    <w:rsid w:val="00DC478E"/>
    <w:rsid w:val="00DD721E"/>
    <w:rsid w:val="00DE1772"/>
    <w:rsid w:val="00E314A5"/>
    <w:rsid w:val="00E37D28"/>
    <w:rsid w:val="00E55ACC"/>
    <w:rsid w:val="00E6158B"/>
    <w:rsid w:val="00E8476B"/>
    <w:rsid w:val="00EB20B4"/>
    <w:rsid w:val="00ED5B9E"/>
    <w:rsid w:val="00EE02B3"/>
    <w:rsid w:val="00EE23C9"/>
    <w:rsid w:val="00EE4B0F"/>
    <w:rsid w:val="00EF27BF"/>
    <w:rsid w:val="00F13D62"/>
    <w:rsid w:val="00F303D6"/>
    <w:rsid w:val="00F3784C"/>
    <w:rsid w:val="00F6097B"/>
    <w:rsid w:val="00F6436F"/>
    <w:rsid w:val="00F777D7"/>
    <w:rsid w:val="00FD6134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2B04913"/>
  <w15:docId w15:val="{D8E0154D-1896-4441-8DE8-E685647F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2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2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8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62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9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hrnetworking@ashleykatehr.com" TargetMode="External"/><Relationship Id="rId18" Type="http://schemas.openxmlformats.org/officeDocument/2006/relationships/hyperlink" Target="http://www.ashleykatehr.com/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twitter.com/AshleyKateHR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linkedin.com/in/tracey-jackson-bb319130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youtube.com/user/AshleyKateH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shleykatehr.com/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helen-rice-birchall-b991b168/" TargetMode="External"/><Relationship Id="rId24" Type="http://schemas.openxmlformats.org/officeDocument/2006/relationships/hyperlink" Target="https://www.facebook.com/AshleyKateHR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hyperlink" Target="https://www.instagram.com/ashleykatehr/" TargetMode="External"/><Relationship Id="rId10" Type="http://schemas.openxmlformats.org/officeDocument/2006/relationships/hyperlink" Target="https://www.linkedin.com/in/cameron-davies-112025170/" TargetMode="External"/><Relationship Id="rId19" Type="http://schemas.openxmlformats.org/officeDocument/2006/relationships/hyperlink" Target="https://twitter.com/AshleyKateHR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karenbrownashleykatehr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facebook.com/AshleyKateHR/" TargetMode="External"/><Relationship Id="rId27" Type="http://schemas.openxmlformats.org/officeDocument/2006/relationships/hyperlink" Target="https://www.youtube.com/user/AshleyKateHR" TargetMode="External"/><Relationship Id="rId30" Type="http://schemas.openxmlformats.org/officeDocument/2006/relationships/hyperlink" Target="https://www.instagram.com/ashleykate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43BECC6F</Template>
  <TotalTime>27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Brown</dc:creator>
  <cp:lastModifiedBy>Karen Brown</cp:lastModifiedBy>
  <cp:revision>32</cp:revision>
  <dcterms:created xsi:type="dcterms:W3CDTF">2019-05-13T09:22:00Z</dcterms:created>
  <dcterms:modified xsi:type="dcterms:W3CDTF">2019-05-13T09:51:00Z</dcterms:modified>
</cp:coreProperties>
</file>